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5"/>
        <w:ind w:firstLine="708"/>
        <w:jc w:val="center"/>
        <w:spacing w:before="0" w:after="200" w:line="276" w:lineRule="auto"/>
        <w:rPr>
          <w:rFonts w:ascii="Segoe UI" w:hAnsi="Segoe UI" w:eastAsia="Arial" w:cs="Segoe UI"/>
          <w:sz w:val="28"/>
          <w:szCs w:val="28"/>
          <w:lang w:eastAsia="sk-SK"/>
          <w14:ligatures w14:val="none"/>
        </w:rPr>
      </w:pPr>
      <w:r>
        <w:rPr>
          <w:rFonts w:ascii="Segoe UI" w:hAnsi="Segoe UI" w:eastAsia="Arial" w:cs="Segoe UI"/>
          <w:sz w:val="28"/>
          <w:szCs w:val="28"/>
          <w:lang w:eastAsia="sk-SK"/>
          <w14:ligatures w14:val="non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-304800</wp:posOffset>
                </wp:positionV>
                <wp:extent cx="2692400" cy="981075"/>
                <wp:effectExtent l="0" t="0" r="0" b="0"/>
                <wp:wrapNone/>
                <wp:docPr id="1" name="Рисунок 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692400" cy="9810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3;o:allowoverlap:true;o:allowincell:true;mso-position-horizontal-relative:text;margin-left:-3.00pt;mso-position-horizontal:absolute;mso-position-vertical-relative:text;margin-top:-24.00pt;mso-position-vertical:absolute;width:212.00pt;height:77.25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ascii="Segoe UI" w:hAnsi="Segoe UI" w:eastAsia="Arial" w:cs="Segoe UI"/>
          <w:sz w:val="28"/>
          <w:szCs w:val="28"/>
          <w:lang w:eastAsia="sk-SK"/>
          <w14:ligatures w14:val="none"/>
        </w:rPr>
      </w:r>
      <w:r>
        <w:rPr>
          <w:rFonts w:ascii="Segoe UI" w:hAnsi="Segoe UI" w:eastAsia="Arial" w:cs="Segoe UI"/>
          <w:sz w:val="28"/>
          <w:szCs w:val="28"/>
          <w:lang w:eastAsia="sk-SK"/>
          <w14:ligatures w14:val="none"/>
        </w:rPr>
      </w:r>
    </w:p>
    <w:p>
      <w:pPr>
        <w:pStyle w:val="785"/>
        <w:jc w:val="center"/>
        <w:spacing w:before="0" w:after="200" w:line="276" w:lineRule="auto"/>
        <w:rPr>
          <w:rFonts w:ascii="Segoe UI" w:hAnsi="Segoe UI" w:eastAsia="Arial" w:cs="Segoe UI"/>
          <w:b/>
          <w:bCs/>
          <w:sz w:val="22"/>
          <w:szCs w:val="22"/>
          <w14:ligatures w14:val="none"/>
        </w:rPr>
      </w:pPr>
      <w:r>
        <w:rPr>
          <w:rFonts w:ascii="Segoe UI" w:hAnsi="Segoe UI" w:eastAsia="Arial" w:cs="Segoe UI"/>
          <w:b/>
          <w:sz w:val="28"/>
          <w:szCs w:val="28"/>
          <w:lang w:eastAsia="sk-SK"/>
          <w14:ligatures w14:val="none"/>
        </w:rPr>
        <w:t xml:space="preserve">                                                                                               </w:t>
      </w:r>
      <w:r>
        <w:rPr>
          <w:rFonts w:ascii="Segoe UI" w:hAnsi="Segoe UI" w:eastAsia="Arial" w:cs="Segoe UI"/>
          <w:b/>
          <w:bCs/>
          <w:sz w:val="22"/>
          <w:szCs w:val="22"/>
          <w14:ligatures w14:val="none"/>
        </w:rPr>
      </w:r>
      <w:r>
        <w:rPr>
          <w:rFonts w:ascii="Segoe UI" w:hAnsi="Segoe UI" w:eastAsia="Arial" w:cs="Segoe UI"/>
          <w:b/>
          <w:bCs/>
          <w:sz w:val="22"/>
          <w:szCs w:val="22"/>
          <w14:ligatures w14:val="none"/>
        </w:rPr>
      </w:r>
    </w:p>
    <w:p>
      <w:pPr>
        <w:pStyle w:val="785"/>
        <w:ind w:left="0" w:right="0" w:firstLine="567"/>
        <w:jc w:val="center"/>
        <w:spacing w:before="0" w:after="170" w:afterAutospacing="0"/>
        <w:rPr>
          <w:rFonts w:ascii="Segoe UI" w:hAnsi="Segoe UI" w:cs="Segoe UI"/>
          <w:b/>
          <w:bCs/>
          <w:sz w:val="24"/>
          <w:szCs w:val="24"/>
          <w:highlight w:val="none"/>
        </w:rPr>
      </w:pPr>
      <w:r>
        <w:rPr>
          <w:rFonts w:ascii="Segoe UI" w:hAnsi="Segoe UI" w:eastAsia="Segoe UI" w:cs="Segoe UI"/>
          <w:b/>
          <w:bCs/>
          <w:sz w:val="24"/>
          <w:szCs w:val="24"/>
        </w:rPr>
        <w:t xml:space="preserve">Что делать, если на объект недвижимости наложен арест?</w:t>
      </w:r>
      <w:r>
        <w:rPr>
          <w:rFonts w:ascii="Segoe UI" w:hAnsi="Segoe UI" w:cs="Segoe UI"/>
          <w:b/>
          <w:bCs/>
          <w:sz w:val="24"/>
          <w:szCs w:val="24"/>
          <w:highlight w:val="none"/>
        </w:rPr>
      </w:r>
      <w:r>
        <w:rPr>
          <w:rFonts w:ascii="Segoe UI" w:hAnsi="Segoe UI" w:cs="Segoe UI"/>
          <w:b/>
          <w:bCs/>
          <w:sz w:val="24"/>
          <w:szCs w:val="24"/>
          <w:highlight w:val="none"/>
        </w:rPr>
      </w:r>
    </w:p>
    <w:p>
      <w:pPr>
        <w:pStyle w:val="785"/>
        <w:jc w:val="both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  <w:t xml:space="preserve">Арест может быть наложен на любой объект недвижимого имущества: квартиру, жилой дом, земельный участок, гараж, машино-место, коммерческие помещения. 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pStyle w:val="785"/>
        <w:jc w:val="both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  <w:t xml:space="preserve">Наличие ареста (запрета) на объекте недвижимости влечет за собой ряд существенных ограничений для правообладателя: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pStyle w:val="846"/>
        <w:numPr>
          <w:ilvl w:val="0"/>
          <w:numId w:val="1"/>
        </w:numPr>
        <w:contextualSpacing/>
        <w:jc w:val="both"/>
        <w:spacing w:before="0" w:after="0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  <w:t xml:space="preserve">запрещается совершение сделок по отчуждению: продажа, дарение, мена;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pStyle w:val="846"/>
        <w:numPr>
          <w:ilvl w:val="0"/>
          <w:numId w:val="1"/>
        </w:numPr>
        <w:contextualSpacing/>
        <w:jc w:val="both"/>
        <w:spacing w:before="0" w:after="0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  <w:t xml:space="preserve">невозможно использовать имущество в качестве залога;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pStyle w:val="846"/>
        <w:numPr>
          <w:ilvl w:val="0"/>
          <w:numId w:val="1"/>
        </w:numPr>
        <w:contextualSpacing/>
        <w:jc w:val="both"/>
        <w:spacing w:before="0" w:after="200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  <w:t xml:space="preserve">нельзя сдать объект в аренду.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pStyle w:val="785"/>
        <w:jc w:val="both"/>
        <w:rPr>
          <w:rFonts w:ascii="Segoe UI" w:hAnsi="Segoe UI" w:cs="Segoe UI"/>
          <w:b/>
          <w:bCs/>
          <w:i w:val="0"/>
          <w:iCs w:val="0"/>
          <w:sz w:val="24"/>
          <w:szCs w:val="24"/>
          <w:highlight w:val="none"/>
        </w:rPr>
      </w:pPr>
      <w:r>
        <w:rPr>
          <w:rFonts w:ascii="Segoe UI" w:hAnsi="Segoe UI" w:eastAsia="Segoe UI" w:cs="Segoe UI"/>
          <w:i/>
          <w:iCs/>
          <w:sz w:val="24"/>
          <w:szCs w:val="24"/>
          <w:highlight w:val="none"/>
        </w:rPr>
        <w:t xml:space="preserve">«Ес</w:t>
      </w:r>
      <w:r>
        <w:rPr>
          <w:rFonts w:ascii="Segoe UI" w:hAnsi="Segoe UI" w:eastAsia="Segoe UI" w:cs="Segoe UI"/>
          <w:i/>
          <w:iCs/>
          <w:sz w:val="24"/>
          <w:szCs w:val="24"/>
          <w:highlight w:val="none"/>
        </w:rPr>
        <w:t xml:space="preserve">ли имущество арестовано, собственник сохраняет право пользования им с учетом наложенных ограничений. Полноценное распоряжение недвижимостью становится возможным только после погашения записи об аресте в Едином государственном реестре недвижимости (ЕГРН)», </w:t>
      </w:r>
      <w:r>
        <w:rPr>
          <w:rFonts w:ascii="Segoe UI" w:hAnsi="Segoe UI" w:eastAsia="Segoe UI" w:cs="Segoe UI"/>
          <w:i w:val="0"/>
          <w:iCs w:val="0"/>
          <w:sz w:val="24"/>
          <w:szCs w:val="24"/>
          <w:highlight w:val="none"/>
        </w:rPr>
        <w:t xml:space="preserve">- подчеркнула заместитель руководителя </w:t>
      </w:r>
      <w:r>
        <w:rPr>
          <w:rFonts w:ascii="Segoe UI" w:hAnsi="Segoe UI" w:eastAsia="Segoe UI" w:cs="Segoe UI"/>
          <w:b/>
          <w:bCs/>
          <w:i w:val="0"/>
          <w:iCs w:val="0"/>
          <w:sz w:val="24"/>
          <w:szCs w:val="24"/>
          <w:highlight w:val="none"/>
        </w:rPr>
        <w:t xml:space="preserve">Ирина Семкина.</w:t>
      </w:r>
      <w:r>
        <w:rPr>
          <w:rFonts w:ascii="Segoe UI" w:hAnsi="Segoe UI" w:cs="Segoe UI"/>
          <w:b/>
          <w:bCs/>
          <w:i w:val="0"/>
          <w:iCs w:val="0"/>
          <w:sz w:val="24"/>
          <w:szCs w:val="24"/>
          <w:highlight w:val="none"/>
        </w:rPr>
      </w:r>
      <w:r>
        <w:rPr>
          <w:rFonts w:ascii="Segoe UI" w:hAnsi="Segoe UI" w:cs="Segoe UI"/>
          <w:b/>
          <w:bCs/>
          <w:i w:val="0"/>
          <w:iCs w:val="0"/>
          <w:sz w:val="24"/>
          <w:szCs w:val="24"/>
          <w:highlight w:val="none"/>
        </w:rPr>
      </w:r>
    </w:p>
    <w:p>
      <w:pPr>
        <w:pStyle w:val="785"/>
        <w:ind w:left="0" w:right="0" w:firstLine="567"/>
        <w:jc w:val="both"/>
        <w:spacing w:before="0" w:after="170" w:afterAutospacing="0"/>
        <w:shd w:val="clear" w:color="ffffff" w:fill="ffffff"/>
        <w:rPr>
          <w:rFonts w:ascii="Segoe UI" w:hAnsi="Segoe UI" w:cs="Segoe UI"/>
          <w:color w:val="000000"/>
          <w:sz w:val="24"/>
          <w:szCs w:val="24"/>
          <w:highlight w:val="none"/>
        </w:rPr>
      </w:pPr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  <w:t xml:space="preserve">Проверить наличие обременения/ограничения права на недвижимость можно запросив выписку из ЕГРН через МФЦ или в электронном виде через сайт Росреестра или портал Госуслуг.</w:t>
      </w:r>
      <w:r>
        <w:rPr>
          <w:rFonts w:ascii="Segoe UI" w:hAnsi="Segoe UI" w:cs="Segoe UI"/>
          <w:color w:val="000000"/>
          <w:sz w:val="24"/>
          <w:szCs w:val="24"/>
          <w:highlight w:val="none"/>
        </w:rPr>
      </w:r>
      <w:r>
        <w:rPr>
          <w:rFonts w:ascii="Segoe UI" w:hAnsi="Segoe UI" w:cs="Segoe UI"/>
          <w:color w:val="000000"/>
          <w:sz w:val="24"/>
          <w:szCs w:val="24"/>
          <w:highlight w:val="none"/>
        </w:rPr>
      </w:r>
    </w:p>
    <w:p>
      <w:pPr>
        <w:pStyle w:val="785"/>
        <w:ind w:left="0" w:right="0" w:firstLine="567"/>
        <w:jc w:val="both"/>
        <w:spacing w:before="0" w:after="170" w:afterAutospacing="0"/>
        <w:shd w:val="clear" w:color="ffffff" w:fill="ffffff"/>
        <w:rPr>
          <w:rFonts w:ascii="Segoe UI" w:hAnsi="Segoe UI" w:cs="Segoe UI"/>
          <w:color w:val="000000"/>
          <w:sz w:val="24"/>
          <w:szCs w:val="24"/>
          <w:highlight w:val="none"/>
        </w:rPr>
      </w:pPr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  <w:t xml:space="preserve">Также информацию можно узнать через сервис Росреестра «Справочная информация по объектам недвижимости в режиме онлайн» </w:t>
      </w:r>
      <w:hyperlink r:id="rId10" w:tooltip="https://lk.rosreestr.ru/eservices/real-estate-objects-online" w:history="1">
        <w:r>
          <w:rPr>
            <w:rStyle w:val="811"/>
            <w:rFonts w:ascii="Segoe UI" w:hAnsi="Segoe UI" w:eastAsia="Segoe UI" w:cs="Segoe UI"/>
            <w:sz w:val="24"/>
            <w:szCs w:val="24"/>
            <w:highlight w:val="none"/>
          </w:rPr>
          <w:t xml:space="preserve">https://lk.rosreestr.ru/eservices/real-estate-objects-online</w:t>
        </w:r>
      </w:hyperlink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  <w:t xml:space="preserve"> </w:t>
      </w:r>
      <w:r>
        <w:rPr>
          <w:rFonts w:ascii="Segoe UI" w:hAnsi="Segoe UI" w:cs="Segoe UI"/>
          <w:color w:val="000000"/>
          <w:sz w:val="24"/>
          <w:szCs w:val="24"/>
          <w:highlight w:val="none"/>
        </w:rPr>
      </w:r>
      <w:r>
        <w:rPr>
          <w:rFonts w:ascii="Segoe UI" w:hAnsi="Segoe UI" w:cs="Segoe UI"/>
          <w:color w:val="000000"/>
          <w:sz w:val="24"/>
          <w:szCs w:val="24"/>
          <w:highlight w:val="none"/>
        </w:rPr>
      </w:r>
    </w:p>
    <w:p>
      <w:pPr>
        <w:pStyle w:val="785"/>
        <w:ind w:left="0" w:right="0" w:firstLine="567"/>
        <w:jc w:val="both"/>
        <w:spacing w:before="0" w:after="170" w:afterAutospacing="0"/>
        <w:shd w:val="clear" w:color="ffffff" w:fill="ffffff"/>
        <w:rPr>
          <w:rFonts w:ascii="Segoe UI" w:hAnsi="Segoe UI" w:cs="Segoe UI"/>
          <w:color w:val="000000"/>
          <w:sz w:val="24"/>
          <w:szCs w:val="24"/>
          <w:highlight w:val="none"/>
        </w:rPr>
      </w:pPr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  <w:t xml:space="preserve">Кроме того, проверить наличие или отсутствие задолженностей можно с помощью сервиса Федеральной службы судебных приставов «Банк данных исполнительных производств» </w:t>
      </w:r>
      <w:hyperlink r:id="rId11" w:tooltip="https://vk.com/away.php?to=https%3A%2F%2Ffssp.gov.ru%2Fiss%2Fip&amp;utf=1" w:history="1">
        <w:r>
          <w:rPr>
            <w:rStyle w:val="811"/>
            <w:rFonts w:ascii="Segoe UI" w:hAnsi="Segoe UI" w:eastAsia="Segoe UI" w:cs="Segoe UI"/>
            <w:color w:val="2a5885"/>
            <w:sz w:val="24"/>
            <w:szCs w:val="24"/>
            <w:highlight w:val="none"/>
            <w:u w:val="none"/>
          </w:rPr>
          <w:t xml:space="preserve">fssp.gov.ru/iss/ip</w:t>
        </w:r>
      </w:hyperlink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  <w:t xml:space="preserve">.</w:t>
      </w:r>
      <w:r>
        <w:rPr>
          <w:rFonts w:ascii="Segoe UI" w:hAnsi="Segoe UI" w:cs="Segoe UI"/>
          <w:color w:val="000000"/>
          <w:sz w:val="24"/>
          <w:szCs w:val="24"/>
          <w:highlight w:val="none"/>
        </w:rPr>
      </w:r>
      <w:r>
        <w:rPr>
          <w:rFonts w:ascii="Segoe UI" w:hAnsi="Segoe UI" w:cs="Segoe UI"/>
          <w:color w:val="000000"/>
          <w:sz w:val="24"/>
          <w:szCs w:val="24"/>
          <w:highlight w:val="none"/>
        </w:rPr>
      </w:r>
    </w:p>
    <w:p>
      <w:pPr>
        <w:pStyle w:val="785"/>
        <w:ind w:left="0" w:right="0" w:firstLine="567"/>
        <w:jc w:val="both"/>
        <w:spacing w:before="0" w:after="170" w:afterAutospacing="0"/>
        <w:shd w:val="clear" w:color="ffffff" w:fill="ffffff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  <w:t xml:space="preserve">Узнать о наличии задолженности, о запрете на регистрационные действия с имуществом, ограничении в праве выезда на границу, оплатить задолженность можно с помощью портала Госуслуг.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pStyle w:val="785"/>
        <w:jc w:val="both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  <w:t xml:space="preserve">Для отмены ареста собственнику необходимо предпринять следующие шаги: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pStyle w:val="785"/>
        <w:jc w:val="both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  <w:t xml:space="preserve">1. Уточнить инициатора и о</w:t>
      </w:r>
      <w:r>
        <w:rPr>
          <w:rFonts w:ascii="Segoe UI" w:hAnsi="Segoe UI" w:eastAsia="Segoe UI" w:cs="Segoe UI"/>
          <w:sz w:val="24"/>
          <w:szCs w:val="24"/>
          <w:highlight w:val="none"/>
        </w:rPr>
        <w:t xml:space="preserve">снова</w:t>
      </w:r>
      <w:r>
        <w:rPr>
          <w:rFonts w:ascii="Segoe UI" w:hAnsi="Segoe UI" w:eastAsia="Segoe UI" w:cs="Segoe UI"/>
          <w:sz w:val="24"/>
          <w:szCs w:val="24"/>
          <w:highlight w:val="none"/>
        </w:rPr>
        <w:t xml:space="preserve">ние наложения ограничения. Информация содержится в выписке из ЕГРН или в ответе на запрос в Росреестр (в том числе через онлайн-сервисы). Там указано, каким органом (судебные приставы, суд) и в рамках какого исполнительного производства или судебного акта </w:t>
      </w:r>
      <w:r>
        <w:rPr>
          <w:rFonts w:ascii="Segoe UI" w:hAnsi="Segoe UI" w:eastAsia="Segoe UI" w:cs="Segoe UI"/>
          <w:sz w:val="24"/>
          <w:szCs w:val="24"/>
          <w:highlight w:val="none"/>
        </w:rPr>
        <w:t xml:space="preserve">наложен арест.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pStyle w:val="785"/>
        <w:jc w:val="both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  <w:t xml:space="preserve">2. Исполнить требования, послужившие причиной ареста. Чаще всего это оплата задолженности. Если запрет наложен в рамках судебного спора, отменить его может только судебная инстанция, вынесшая соответствующее решение.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pStyle w:val="785"/>
        <w:jc w:val="both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  <w:t xml:space="preserve">3. Обратиться к инициатору ограничения (например, к судебному приставу-исполнителю) с заявлением о</w:t>
      </w:r>
      <w:r>
        <w:rPr>
          <w:rFonts w:ascii="Segoe UI" w:hAnsi="Segoe UI" w:eastAsia="Segoe UI" w:cs="Segoe UI"/>
          <w:sz w:val="24"/>
          <w:szCs w:val="24"/>
          <w:highlight w:val="none"/>
        </w:rPr>
        <w:t xml:space="preserve">б прекращении </w:t>
      </w:r>
      <w:r>
        <w:rPr>
          <w:rFonts w:ascii="Segoe UI" w:hAnsi="Segoe UI" w:eastAsia="Segoe UI" w:cs="Segoe UI"/>
          <w:sz w:val="24"/>
          <w:szCs w:val="24"/>
          <w:highlight w:val="none"/>
        </w:rPr>
        <w:t xml:space="preserve">исполнительного производства и вынесении постановления об отмене ареста (запрета).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pStyle w:val="785"/>
        <w:jc w:val="both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  <w:t xml:space="preserve">4. Судебный пристав-исполнитель обязан направить постановление об отмене ареста в Росреестр в порядке межведомственного взаимодействия.</w:t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p>
      <w:pPr>
        <w:pStyle w:val="785"/>
        <w:jc w:val="both"/>
        <w:rPr>
          <w:rFonts w:ascii="Segoe UI" w:hAnsi="Segoe UI" w:eastAsia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i/>
          <w:iCs/>
          <w:sz w:val="24"/>
          <w:szCs w:val="24"/>
          <w:highlight w:val="none"/>
        </w:rPr>
        <w:t xml:space="preserve">«После поступления в Росреестр документа об отмене ограничительных мер, запись об аресте в ЕГРН погашается в течение трёх рабочих дней. Управление не может самостоятельно снять арест без официального подтверждения от органа, его наложившего»</w:t>
      </w:r>
      <w:r>
        <w:rPr>
          <w:rFonts w:ascii="Segoe UI" w:hAnsi="Segoe UI" w:eastAsia="Segoe UI" w:cs="Segoe UI"/>
          <w:sz w:val="24"/>
          <w:szCs w:val="24"/>
          <w:highlight w:val="none"/>
        </w:rPr>
        <w:t xml:space="preserve">, –</w:t>
      </w:r>
      <w:r>
        <w:rPr>
          <w:rFonts w:ascii="Segoe UI" w:hAnsi="Segoe UI" w:eastAsia="Segoe UI" w:cs="Segoe UI"/>
          <w:b w:val="0"/>
          <w:bCs w:val="0"/>
          <w:sz w:val="24"/>
          <w:szCs w:val="24"/>
          <w:highlight w:val="none"/>
        </w:rPr>
        <w:t xml:space="preserve"> уточнила начальник отдела организации исполнительного производства Главного управления ФССП по Свердловской области</w:t>
      </w: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  <w:t xml:space="preserve"> Наира Гевондян.</w:t>
      </w:r>
      <w:r>
        <w:rPr>
          <w:rFonts w:ascii="Segoe UI" w:hAnsi="Segoe UI" w:eastAsia="Segoe UI" w:cs="Segoe UI"/>
          <w:sz w:val="24"/>
          <w:szCs w:val="24"/>
          <w:highlight w:val="none"/>
        </w:rPr>
      </w:r>
      <w:r>
        <w:rPr>
          <w:rFonts w:ascii="Segoe UI" w:hAnsi="Segoe UI" w:eastAsia="Segoe UI" w:cs="Segoe UI"/>
          <w:sz w:val="24"/>
          <w:szCs w:val="24"/>
          <w:highlight w:val="none"/>
        </w:rPr>
      </w:r>
    </w:p>
    <w:p>
      <w:pPr>
        <w:jc w:val="both"/>
        <w:rPr>
          <w:rFonts w:ascii="Segoe UI" w:hAnsi="Segoe UI" w:eastAsia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</w:r>
      <w:r>
        <w:rPr>
          <w:rFonts w:ascii="Segoe UI" w:hAnsi="Segoe UI" w:eastAsia="Segoe UI" w:cs="Segoe UI"/>
          <w:sz w:val="24"/>
          <w:szCs w:val="24"/>
          <w:highlight w:val="none"/>
        </w:rPr>
      </w:r>
      <w:r>
        <w:rPr>
          <w:rFonts w:ascii="Segoe UI" w:hAnsi="Segoe UI" w:eastAsia="Segoe UI" w:cs="Segoe UI"/>
          <w:sz w:val="24"/>
          <w:szCs w:val="24"/>
          <w:highlight w:val="none"/>
        </w:rPr>
      </w:r>
    </w:p>
    <w:p>
      <w:pPr>
        <w:jc w:val="both"/>
        <w:rPr>
          <w:rFonts w:ascii="Segoe UI" w:hAnsi="Segoe UI" w:eastAsia="Segoe UI" w:cs="Segoe UI"/>
          <w:b/>
          <w:bCs/>
          <w:sz w:val="24"/>
          <w:szCs w:val="24"/>
          <w:highlight w:val="none"/>
          <w:u w:val="none"/>
        </w:rPr>
      </w:pPr>
      <w:r>
        <w:rPr>
          <w:rFonts w:ascii="Segoe UI" w:hAnsi="Segoe UI" w:eastAsia="Segoe UI" w:cs="Segoe UI"/>
          <w:b/>
          <w:bCs/>
          <w:sz w:val="24"/>
          <w:szCs w:val="24"/>
          <w:highlight w:val="none"/>
          <w:u w:val="none"/>
        </w:rPr>
      </w:r>
      <w:hyperlink r:id="rId12" w:tooltip="https://max.ru/id6670073005_gos/AZ1mTwgzMSI" w:history="1">
        <w:r>
          <w:rPr>
            <w:rStyle w:val="811"/>
            <w:rFonts w:ascii="Segoe UI" w:hAnsi="Segoe UI" w:eastAsia="Segoe UI" w:cs="Segoe UI"/>
            <w:b/>
            <w:bCs/>
            <w:sz w:val="24"/>
            <w:szCs w:val="24"/>
            <w:highlight w:val="none"/>
            <w:u w:val="none"/>
          </w:rPr>
          <w:t xml:space="preserve">Наш канал в MAX</w:t>
        </w:r>
        <w:r>
          <w:rPr>
            <w:rStyle w:val="811"/>
            <w:rFonts w:ascii="Segoe UI" w:hAnsi="Segoe UI" w:eastAsia="Segoe UI" w:cs="Segoe UI"/>
            <w:sz w:val="24"/>
            <w:szCs w:val="24"/>
            <w:highlight w:val="none"/>
            <w:u w:val="single"/>
          </w:rPr>
        </w:r>
      </w:hyperlink>
      <w:r>
        <w:rPr>
          <w:rFonts w:ascii="Segoe UI" w:hAnsi="Segoe UI" w:eastAsia="Segoe UI" w:cs="Segoe UI"/>
          <w:b/>
          <w:bCs/>
          <w:sz w:val="24"/>
          <w:szCs w:val="24"/>
          <w:highlight w:val="none"/>
          <w:u w:val="none"/>
        </w:rPr>
      </w:r>
      <w:r>
        <w:rPr>
          <w:rFonts w:ascii="Segoe UI" w:hAnsi="Segoe UI" w:eastAsia="Segoe UI" w:cs="Segoe UI"/>
          <w:b/>
          <w:bCs/>
          <w:sz w:val="24"/>
          <w:szCs w:val="24"/>
          <w:highlight w:val="none"/>
          <w:u w:val="none"/>
        </w:rPr>
      </w:r>
    </w:p>
    <w:p>
      <w:pPr>
        <w:pStyle w:val="785"/>
        <w:jc w:val="both"/>
        <w:spacing w:before="0" w:after="0" w:line="276" w:lineRule="auto"/>
        <w:rPr>
          <w:rFonts w:ascii="Segoe UI" w:hAnsi="Segoe UI" w:eastAsia="Arial" w:cs="Segoe UI"/>
          <w:b/>
          <w:sz w:val="18"/>
          <w:szCs w:val="18"/>
          <w14:ligatures w14:val="none"/>
        </w:rPr>
      </w:pPr>
      <w:r>
        <w:rPr>
          <w:rFonts w:ascii="Segoe UI" w:hAnsi="Segoe UI" w:eastAsia="Arial" w:cs="Segoe UI"/>
          <w:b/>
          <w:sz w:val="18"/>
          <w:szCs w:val="18"/>
          <w14:ligatures w14:val="non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0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6000750" cy="635"/>
                <wp:effectExtent l="8255" t="8890" r="8890" b="8255"/>
                <wp:wrapNone/>
                <wp:docPr id="2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00840" cy="7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32" type="#_x0000_t32" style="position:absolute;z-index:2;o:allowoverlap:true;o:allowincell:false;mso-position-horizontal-relative:margin;mso-position-horizontal:left;mso-position-vertical-relative:text;margin-top:0.85pt;mso-position-vertical:absolute;width:472.50pt;height:0.05pt;mso-wrap-distance-left:0.00pt;mso-wrap-distance-top:0.00pt;mso-wrap-distance-right:0.00pt;mso-wrap-distance-bottom:0.00pt;visibility:visible;" filled="f" strokecolor="#0070C0" strokeweight="1.25pt"/>
            </w:pict>
          </mc:Fallback>
        </mc:AlternateContent>
      </w:r>
      <w:r>
        <w:rPr>
          <w:rFonts w:ascii="Segoe UI" w:hAnsi="Segoe UI" w:eastAsia="Arial" w:cs="Segoe UI"/>
          <w:b/>
          <w:sz w:val="18"/>
          <w:szCs w:val="18"/>
          <w14:ligatures w14:val="none"/>
        </w:rPr>
      </w:r>
      <w:r>
        <w:rPr>
          <w:rFonts w:ascii="Segoe UI" w:hAnsi="Segoe UI" w:eastAsia="Arial" w:cs="Segoe UI"/>
          <w:b/>
          <w:sz w:val="18"/>
          <w:szCs w:val="18"/>
          <w14:ligatures w14:val="none"/>
        </w:rPr>
      </w:r>
    </w:p>
    <w:p>
      <w:pPr>
        <w:pStyle w:val="785"/>
        <w:jc w:val="both"/>
        <w:spacing w:before="0" w:after="0" w:line="276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14:ligatures w14:val="none"/>
        </w:rPr>
        <w:t xml:space="preserve">Каменск-Уральский отдел Управления Росреестра по Свердловской области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785"/>
        <w:jc w:val="both"/>
        <w:spacing w:before="0" w:after="200"/>
        <w:rPr>
          <w:rFonts w:ascii="Segoe UI" w:hAnsi="Segoe UI" w:cs="Segoe UI"/>
          <w:sz w:val="24"/>
          <w:szCs w:val="24"/>
          <w:highlight w:val="none"/>
        </w:rPr>
      </w:pPr>
      <w:r>
        <w:rPr>
          <w:rFonts w:ascii="Segoe UI" w:hAnsi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  <w:highlight w:val="none"/>
        </w:rPr>
      </w:r>
      <w:r>
        <w:rPr>
          <w:rFonts w:ascii="Segoe UI" w:hAnsi="Segoe UI" w:cs="Segoe UI"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DejaVu Sans">
    <w:panose1 w:val="020B0603030804020204"/>
  </w:font>
  <w:font w:name="Droid Sans">
    <w:panose1 w:val="020B0706030804020204"/>
  </w:font>
  <w:font w:name="Open Sans">
    <w:panose1 w:val="020B060603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/>
      <w:suff w:val="tab"/>
      <w:lvlText w:val="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658">
    <w:name w:val="No List"/>
    <w:uiPriority w:val="99"/>
    <w:semiHidden/>
    <w:unhideWhenUsed/>
  </w:style>
  <w:style w:type="table" w:styleId="65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6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8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9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9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69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69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69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69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0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0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0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0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2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2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2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2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2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2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2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5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5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5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5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5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5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5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6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6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6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6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6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7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8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8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85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86">
    <w:name w:val="Heading 1"/>
    <w:basedOn w:val="7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7">
    <w:name w:val="Heading 2"/>
    <w:basedOn w:val="7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8">
    <w:name w:val="Heading 3"/>
    <w:basedOn w:val="7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9">
    <w:name w:val="Heading 4"/>
    <w:basedOn w:val="7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0">
    <w:name w:val="Heading 5"/>
    <w:basedOn w:val="7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1">
    <w:name w:val="Heading 6"/>
    <w:basedOn w:val="7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92">
    <w:name w:val="Heading 7"/>
    <w:basedOn w:val="7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3">
    <w:name w:val="Heading 8"/>
    <w:basedOn w:val="7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4">
    <w:name w:val="Heading 9"/>
    <w:basedOn w:val="7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5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96">
    <w:name w:val="Heading 2 Char"/>
    <w:uiPriority w:val="9"/>
    <w:qFormat/>
    <w:rPr>
      <w:rFonts w:ascii="Arial" w:hAnsi="Arial" w:eastAsia="Arial" w:cs="Arial"/>
      <w:sz w:val="34"/>
    </w:rPr>
  </w:style>
  <w:style w:type="character" w:styleId="797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98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99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00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0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02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03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04">
    <w:name w:val="Title Char"/>
    <w:uiPriority w:val="10"/>
    <w:qFormat/>
    <w:rPr>
      <w:sz w:val="48"/>
      <w:szCs w:val="48"/>
    </w:rPr>
  </w:style>
  <w:style w:type="character" w:styleId="805">
    <w:name w:val="Subtitle Char"/>
    <w:uiPriority w:val="11"/>
    <w:qFormat/>
    <w:rPr>
      <w:sz w:val="24"/>
      <w:szCs w:val="24"/>
    </w:rPr>
  </w:style>
  <w:style w:type="character" w:styleId="806">
    <w:name w:val="Quote Char"/>
    <w:uiPriority w:val="29"/>
    <w:qFormat/>
    <w:rPr>
      <w:i/>
    </w:rPr>
  </w:style>
  <w:style w:type="character" w:styleId="807">
    <w:name w:val="Intense Quote Char"/>
    <w:uiPriority w:val="30"/>
    <w:qFormat/>
    <w:rPr>
      <w:i/>
    </w:rPr>
  </w:style>
  <w:style w:type="character" w:styleId="808">
    <w:name w:val="Header Char"/>
    <w:uiPriority w:val="99"/>
    <w:qFormat/>
  </w:style>
  <w:style w:type="character" w:styleId="809">
    <w:name w:val="Footer Char"/>
    <w:uiPriority w:val="99"/>
    <w:qFormat/>
  </w:style>
  <w:style w:type="character" w:styleId="810">
    <w:name w:val="Caption Char"/>
    <w:uiPriority w:val="99"/>
    <w:qFormat/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character" w:styleId="812">
    <w:name w:val="Footnote Text Char"/>
    <w:uiPriority w:val="99"/>
    <w:qFormat/>
    <w:rPr>
      <w:sz w:val="18"/>
    </w:rPr>
  </w:style>
  <w:style w:type="character" w:styleId="813">
    <w:name w:val="Символ сноски"/>
    <w:uiPriority w:val="99"/>
    <w:unhideWhenUsed/>
    <w:qFormat/>
    <w:rPr>
      <w:vertAlign w:val="superscript"/>
    </w:rPr>
  </w:style>
  <w:style w:type="character" w:styleId="814">
    <w:name w:val="footnote reference"/>
    <w:rPr>
      <w:vertAlign w:val="superscript"/>
    </w:rPr>
  </w:style>
  <w:style w:type="character" w:styleId="815">
    <w:name w:val="Endnote Text Char"/>
    <w:uiPriority w:val="99"/>
    <w:qFormat/>
    <w:rPr>
      <w:sz w:val="20"/>
    </w:rPr>
  </w:style>
  <w:style w:type="character" w:styleId="81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17">
    <w:name w:val="endnote reference"/>
    <w:rPr>
      <w:vertAlign w:val="superscript"/>
    </w:rPr>
  </w:style>
  <w:style w:type="character" w:styleId="818" w:default="1">
    <w:name w:val="Default Paragraph Font"/>
    <w:uiPriority w:val="1"/>
    <w:semiHidden/>
    <w:unhideWhenUsed/>
    <w:qFormat/>
  </w:style>
  <w:style w:type="paragraph" w:styleId="819">
    <w:name w:val="Заголовок"/>
    <w:basedOn w:val="785"/>
    <w:next w:val="820"/>
    <w:qFormat/>
    <w:pPr>
      <w:keepNext/>
      <w:spacing w:before="240" w:after="120"/>
    </w:pPr>
    <w:rPr>
      <w:rFonts w:ascii="Open Sans" w:hAnsi="Open Sans" w:eastAsia="DejaVu Sans" w:cs="Droid Sans"/>
      <w:sz w:val="28"/>
      <w:szCs w:val="28"/>
    </w:rPr>
  </w:style>
  <w:style w:type="paragraph" w:styleId="820">
    <w:name w:val="Body Text"/>
    <w:basedOn w:val="785"/>
    <w:pPr>
      <w:spacing w:before="0" w:after="140" w:line="276" w:lineRule="auto"/>
    </w:pPr>
  </w:style>
  <w:style w:type="paragraph" w:styleId="821">
    <w:name w:val="List"/>
    <w:basedOn w:val="820"/>
    <w:rPr>
      <w:rFonts w:cs="Droid Sans"/>
    </w:rPr>
  </w:style>
  <w:style w:type="paragraph" w:styleId="822">
    <w:name w:val="Caption"/>
    <w:basedOn w:val="7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23">
    <w:name w:val="Указатель"/>
    <w:basedOn w:val="785"/>
    <w:qFormat/>
    <w:pPr>
      <w:suppressLineNumbers/>
    </w:pPr>
    <w:rPr>
      <w:rFonts w:cs="Droid Sans"/>
    </w:rPr>
  </w:style>
  <w:style w:type="paragraph" w:styleId="824">
    <w:name w:val="Title"/>
    <w:basedOn w:val="78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25">
    <w:name w:val="Subtitle"/>
    <w:basedOn w:val="785"/>
    <w:uiPriority w:val="11"/>
    <w:qFormat/>
    <w:pPr>
      <w:spacing w:before="200" w:after="200"/>
    </w:pPr>
    <w:rPr>
      <w:sz w:val="24"/>
      <w:szCs w:val="24"/>
    </w:rPr>
  </w:style>
  <w:style w:type="paragraph" w:styleId="826">
    <w:name w:val="Quote"/>
    <w:basedOn w:val="785"/>
    <w:uiPriority w:val="29"/>
    <w:qFormat/>
    <w:pPr>
      <w:ind w:left="720" w:right="720"/>
    </w:pPr>
    <w:rPr>
      <w:i/>
    </w:rPr>
  </w:style>
  <w:style w:type="paragraph" w:styleId="827">
    <w:name w:val="Intense Quote"/>
    <w:basedOn w:val="785"/>
    <w:uiPriority w:val="30"/>
    <w:qFormat/>
    <w:pPr>
      <w:ind w:left="720" w:right="720"/>
      <w:spacing w:before="0" w:after="20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8">
    <w:name w:val="Header and Footer"/>
    <w:basedOn w:val="785"/>
    <w:qFormat/>
  </w:style>
  <w:style w:type="paragraph" w:styleId="829">
    <w:name w:val="Header"/>
    <w:basedOn w:val="785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0">
    <w:name w:val="Footer"/>
    <w:basedOn w:val="785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1">
    <w:name w:val="footnote text"/>
    <w:basedOn w:val="785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32">
    <w:name w:val="endnote text"/>
    <w:basedOn w:val="785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33">
    <w:name w:val="toc 1"/>
    <w:basedOn w:val="785"/>
    <w:uiPriority w:val="39"/>
    <w:unhideWhenUsed/>
    <w:pPr>
      <w:ind w:left="0" w:right="0" w:firstLine="0"/>
      <w:spacing w:before="0" w:after="57"/>
    </w:pPr>
  </w:style>
  <w:style w:type="paragraph" w:styleId="834">
    <w:name w:val="toc 2"/>
    <w:basedOn w:val="785"/>
    <w:uiPriority w:val="39"/>
    <w:unhideWhenUsed/>
    <w:pPr>
      <w:ind w:left="283" w:right="0" w:firstLine="0"/>
      <w:spacing w:before="0" w:after="57"/>
    </w:pPr>
  </w:style>
  <w:style w:type="paragraph" w:styleId="835">
    <w:name w:val="toc 3"/>
    <w:basedOn w:val="785"/>
    <w:uiPriority w:val="39"/>
    <w:unhideWhenUsed/>
    <w:pPr>
      <w:ind w:left="567" w:right="0" w:firstLine="0"/>
      <w:spacing w:before="0" w:after="57"/>
    </w:pPr>
  </w:style>
  <w:style w:type="paragraph" w:styleId="836">
    <w:name w:val="toc 4"/>
    <w:basedOn w:val="785"/>
    <w:uiPriority w:val="39"/>
    <w:unhideWhenUsed/>
    <w:pPr>
      <w:ind w:left="850" w:right="0" w:firstLine="0"/>
      <w:spacing w:before="0" w:after="57"/>
    </w:pPr>
  </w:style>
  <w:style w:type="paragraph" w:styleId="837">
    <w:name w:val="toc 5"/>
    <w:basedOn w:val="785"/>
    <w:uiPriority w:val="39"/>
    <w:unhideWhenUsed/>
    <w:pPr>
      <w:ind w:left="1134" w:right="0" w:firstLine="0"/>
      <w:spacing w:before="0" w:after="57"/>
    </w:pPr>
  </w:style>
  <w:style w:type="paragraph" w:styleId="838">
    <w:name w:val="toc 6"/>
    <w:basedOn w:val="785"/>
    <w:uiPriority w:val="39"/>
    <w:unhideWhenUsed/>
    <w:pPr>
      <w:ind w:left="1417" w:right="0" w:firstLine="0"/>
      <w:spacing w:before="0" w:after="57"/>
    </w:pPr>
  </w:style>
  <w:style w:type="paragraph" w:styleId="839">
    <w:name w:val="toc 7"/>
    <w:basedOn w:val="785"/>
    <w:uiPriority w:val="39"/>
    <w:unhideWhenUsed/>
    <w:pPr>
      <w:ind w:left="1701" w:right="0" w:firstLine="0"/>
      <w:spacing w:before="0" w:after="57"/>
    </w:pPr>
  </w:style>
  <w:style w:type="paragraph" w:styleId="840">
    <w:name w:val="toc 8"/>
    <w:basedOn w:val="785"/>
    <w:uiPriority w:val="39"/>
    <w:unhideWhenUsed/>
    <w:pPr>
      <w:ind w:left="1984" w:right="0" w:firstLine="0"/>
      <w:spacing w:before="0" w:after="57"/>
    </w:pPr>
  </w:style>
  <w:style w:type="paragraph" w:styleId="841">
    <w:name w:val="toc 9"/>
    <w:basedOn w:val="785"/>
    <w:uiPriority w:val="39"/>
    <w:unhideWhenUsed/>
    <w:pPr>
      <w:ind w:left="2268" w:right="0" w:firstLine="0"/>
      <w:spacing w:before="0" w:after="57"/>
    </w:pPr>
  </w:style>
  <w:style w:type="paragraph" w:styleId="842">
    <w:name w:val="index heading"/>
    <w:basedOn w:val="819"/>
  </w:style>
  <w:style w:type="paragraph" w:styleId="843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44">
    <w:name w:val="table of figures"/>
    <w:basedOn w:val="785"/>
    <w:uiPriority w:val="99"/>
    <w:unhideWhenUsed/>
    <w:pPr>
      <w:spacing w:before="0" w:after="0" w:afterAutospacing="0"/>
    </w:pPr>
  </w:style>
  <w:style w:type="paragraph" w:styleId="845">
    <w:name w:val="No Spacing"/>
    <w:basedOn w:val="785"/>
    <w:uiPriority w:val="1"/>
    <w:qFormat/>
    <w:pPr>
      <w:spacing w:before="0" w:after="0" w:line="240" w:lineRule="auto"/>
    </w:pPr>
  </w:style>
  <w:style w:type="paragraph" w:styleId="846">
    <w:name w:val="List Paragraph"/>
    <w:basedOn w:val="785"/>
    <w:uiPriority w:val="34"/>
    <w:qFormat/>
    <w:pPr>
      <w:contextualSpacing/>
      <w:ind w:left="720"/>
      <w:spacing w:before="0" w:after="200"/>
    </w:pPr>
  </w:style>
  <w:style w:type="numbering" w:styleId="847" w:default="1">
    <w:name w:val="Без списка"/>
    <w:uiPriority w:val="99"/>
    <w:semiHidden/>
    <w:unhideWhenUsed/>
    <w:qFormat/>
  </w:style>
  <w:style w:type="table" w:styleId="84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lk.rosreestr.ru/eservices/real-estate-objects-online" TargetMode="External"/><Relationship Id="rId11" Type="http://schemas.openxmlformats.org/officeDocument/2006/relationships/hyperlink" Target="https://vk.com/away.php?to=https%3A%2F%2Ffssp.gov.ru%2Fiss%2Fip&amp;utf=1" TargetMode="External"/><Relationship Id="rId12" Type="http://schemas.openxmlformats.org/officeDocument/2006/relationships/hyperlink" Target="https://max.ru/id6670073005_gos/AZ1mTwgzMS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revision>9</cp:revision>
  <dcterms:modified xsi:type="dcterms:W3CDTF">2026-04-07T06:16:01Z</dcterms:modified>
</cp:coreProperties>
</file>